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«Основы гуашевой живописи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Основы гуашевой живописи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7-11 классов, а также 6 классов (при наличии высоких достижений)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910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составляет 72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Основы гуашевой живописи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19.02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02.03.2024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крепление навыков работы с гуашью и техники гуашевой живописи,  развитие художественныех навыков и творческого потенциала, расширение знаний о различных стилях и направлениях в искусстве, стимулирование креативного мышления, развитие воображения и способно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стей к самовыражению через рисунок и живопись.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numPr>
          <w:ilvl w:val="0"/>
          <w:numId w:val="22"/>
        </w:numPr>
        <w:contextualSpacing/>
        <w:ind w:left="0" w:firstLine="72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Обучающие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09"/>
        <w:numPr>
          <w:ilvl w:val="0"/>
          <w:numId w:val="38"/>
        </w:num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ознакомление учащихся с основами гуашевой живописи: историей, техникой, материалами и инструментами;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909"/>
        <w:numPr>
          <w:ilvl w:val="0"/>
          <w:numId w:val="38"/>
        </w:num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владение приемами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работы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гуашью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909"/>
        <w:numPr>
          <w:ilvl w:val="0"/>
          <w:numId w:val="38"/>
        </w:num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обучение правильной технике работы с гуашью: смешивание цветов, нанесение кисти, создание текстур и тонов.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09"/>
        <w:numPr>
          <w:ilvl w:val="0"/>
          <w:numId w:val="38"/>
        </w:num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развитие навыков композиции и композиционного мышления: изучение принципов композиции, создание баланса и гармонии в работе.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09"/>
        <w:numPr>
          <w:ilvl w:val="0"/>
          <w:numId w:val="38"/>
        </w:num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обучение правильной технике работы с гуашью: смешивание цветов, нанесение кисти, создание текстур и тонов.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09"/>
        <w:numPr>
          <w:ilvl w:val="0"/>
          <w:numId w:val="38"/>
        </w:num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совершенствование тактики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цветоведения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приемов передачи материальности предметов с помощью различных технических приемов, передачи объема предметов с помощью цвета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09"/>
        <w:numPr>
          <w:ilvl w:val="0"/>
          <w:numId w:val="38"/>
        </w:num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соблюдение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правил смешения красок в поисках получения сложного цвета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отображения тонких взаимоотношений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нюансов цвета.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pStyle w:val="909"/>
        <w:numPr>
          <w:ilvl w:val="0"/>
          <w:numId w:val="22"/>
        </w:numPr>
        <w:contextualSpacing/>
        <w:ind w:left="0" w:firstLine="72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Развивающие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09"/>
        <w:numPr>
          <w:ilvl w:val="0"/>
          <w:numId w:val="24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творческого мышления и воображения: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  выполнение заданий, которые требуют нестандартного подхода к созданию произведения и поиску индивидуального стиля.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   работа с абстрактными формами и композициями для стимулирования творческого мышления.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909"/>
        <w:numPr>
          <w:ilvl w:val="0"/>
          <w:numId w:val="25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моторики и координации движений: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выполнение упражнений, направленных на развитие мелкой моторики рук и точности движений при работе с кистью.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тренировки руки для улучшения навыков рисования и контроля кисти.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highlight w:val="none"/>
        </w:rPr>
      </w:r>
    </w:p>
    <w:p>
      <w:pPr>
        <w:pStyle w:val="909"/>
        <w:numPr>
          <w:ilvl w:val="0"/>
          <w:numId w:val="26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цветовосприятия и цветовой гармонии: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выполнение задач на создание гармоничных цветовых сочетаний и переходов.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исследование взаимодействия различных цветов и их воздействия на эмоции и настроение.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7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наблюдательности и внимания к деталям: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выполнение заданий, направленных на внимательное изучение объектов и передачу их особенностей на холсте.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выполнение упражнений на развитие способности замечать детали и тонкости в окружающем мире.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8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самовыражения и самоанализа: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выполнение заданий, позволяющих выразить эмоции, чувства и мысли через художественное творчество.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работа над анализом созданных работ, выявление своих сильных и слабых сторон для дальнейшего развития.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9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терпения и упорства: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проведение занятий, где требуется продолжительное время для завершения работы, что способствует развитию упорства и терпения.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стимулирование учащихся преодолевать творческие трудности и идти до конца при выполнении задач.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0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критического мышления и самоконтроля: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выполнение заданий, направленных на критическую оценку собственной работы и поиск путей ее улучшения.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2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обучение самооценке и самоконтролю в процессе создания художественного произведения.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numPr>
          <w:ilvl w:val="0"/>
          <w:numId w:val="22"/>
        </w:numPr>
        <w:contextualSpacing/>
        <w:ind w:left="0" w:firstLine="720"/>
        <w:jc w:val="both"/>
        <w:spacing w:after="0" w:afterAutospacing="0"/>
        <w:rPr>
          <w:rFonts w:ascii="Times New Roman" w:hAnsi="Times New Roman" w:cs="Times New Roman"/>
          <w:b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Воспитательные: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pStyle w:val="909"/>
        <w:numPr>
          <w:ilvl w:val="0"/>
          <w:numId w:val="32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эстетического восприятия: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помощь ученикам в развитии способности оценивать и критически воспринимать художественные произведения.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стимулирование интереса к изобразительному искусству и его значению в культуре.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3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Воспитание творческой личности: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содействие формированию у учеников уверенности в своих художественных способностях и уникальности своего творческого стиля.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поддержка самовыражения и самореализации через изобразительное искусство.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4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Воспитание культуры общения и сотрудничества: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организация совместной творческой деятельности, включающей коллективные проекты и задания.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поддержка взаимопомощи, обмена опытом и идей между учениками для достижения общей цели.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5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Воспитание целеустремленности и ответственности: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обучение учащихся устанавливать конкретные цели в художественном творчестве и добиваться их достижения.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развитие ответственного отношения к творческому процессу, трудолюбия и самодисциплины.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6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Воспитание самоконтроля и эмоционального благополучия: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работа над умением контролировать свои эмоции и проявлять спокойствие в художественном процессе.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1"/>
        </w:numPr>
        <w:contextualSpacing/>
        <w:jc w:val="both"/>
        <w:spacing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  <w:highlight w:val="none"/>
        </w:rPr>
        <w:t xml:space="preserve">обучение способам реализации эмоций через художественное творчество и самовыражение.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pStyle w:val="909"/>
        <w:numPr>
          <w:ilvl w:val="0"/>
          <w:numId w:val="37"/>
        </w:num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Поддержание процесса формирования национально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го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самосознания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включающего, в т. ч.  ценностное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отношени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к художественному наследию России, Новгородского края.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909"/>
        <w:contextualSpacing/>
        <w:ind w:left="0"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910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успешно проявившим себя </w:t>
      </w:r>
      <w:r>
        <w:rPr>
          <w:rFonts w:ascii="Times New Roman" w:hAnsi="Times New Roman" w:eastAsia="Times New Roman" w:cs="Times New Roman"/>
          <w:color w:val="000000" w:themeColor="text1"/>
          <w:sz w:val="24"/>
          <w:highlight w:val="white"/>
        </w:rPr>
        <w:t xml:space="preserve">в олимпиадах, конкурсах, выставках, фестивалях по изобразительному искусству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изобразительному искусству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910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позднее 7 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09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91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ind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ополнительная общеобразовательная общеразвивающая программа "Основы гуашевой живописи" позволит учащимся овладеть основами работы с гуашью, научиться смешивать цвета, создавать гармоничные композиции, развивать свою художественную фантазию и творческие нав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ки. Кроме того, занятия по гуашевой живописи способствуют развитию мелкой моторики, воображения и художественного вкуса, позволяет раскрыть свой творческий потенциал и научиться выражать себя через искусство. Работа с различными материалами и инструментами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способствует расширению своего художественного опыта и улучшению навыков в области изобразительного искусства.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firstLine="0"/>
        <w:jc w:val="both"/>
        <w:spacing w:after="0" w:afterAutospacing="0" w:line="283" w:lineRule="atLeast"/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76" w:lineRule="auto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Полуянова Юлия Васильевна,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педагог дополнительного образования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ГОАОУ «Гимназия № 3»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Творческий  центр «Визит»,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член Международного союза педагогов-художников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ind w:left="0" w:right="0" w:firstLine="0"/>
        <w:jc w:val="both"/>
        <w:spacing w:after="0" w:afterAutospacing="0" w:line="360" w:lineRule="auto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ind w:left="0" w:right="0" w:firstLine="0"/>
        <w:spacing w:after="120" w:line="420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09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5"/>
    <w:next w:val="905"/>
    <w:link w:val="73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1">
    <w:name w:val="Heading 1 Char"/>
    <w:basedOn w:val="906"/>
    <w:link w:val="730"/>
    <w:uiPriority w:val="9"/>
    <w:rPr>
      <w:rFonts w:ascii="Arial" w:hAnsi="Arial" w:eastAsia="Arial" w:cs="Arial"/>
      <w:sz w:val="40"/>
      <w:szCs w:val="40"/>
    </w:rPr>
  </w:style>
  <w:style w:type="paragraph" w:styleId="732">
    <w:name w:val="Heading 2"/>
    <w:basedOn w:val="905"/>
    <w:next w:val="905"/>
    <w:link w:val="7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3">
    <w:name w:val="Heading 2 Char"/>
    <w:basedOn w:val="906"/>
    <w:link w:val="732"/>
    <w:uiPriority w:val="9"/>
    <w:rPr>
      <w:rFonts w:ascii="Arial" w:hAnsi="Arial" w:eastAsia="Arial" w:cs="Arial"/>
      <w:sz w:val="34"/>
    </w:rPr>
  </w:style>
  <w:style w:type="paragraph" w:styleId="734">
    <w:name w:val="Heading 3"/>
    <w:basedOn w:val="905"/>
    <w:next w:val="905"/>
    <w:link w:val="7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5">
    <w:name w:val="Heading 3 Char"/>
    <w:basedOn w:val="906"/>
    <w:link w:val="734"/>
    <w:uiPriority w:val="9"/>
    <w:rPr>
      <w:rFonts w:ascii="Arial" w:hAnsi="Arial" w:eastAsia="Arial" w:cs="Arial"/>
      <w:sz w:val="30"/>
      <w:szCs w:val="30"/>
    </w:rPr>
  </w:style>
  <w:style w:type="paragraph" w:styleId="736">
    <w:name w:val="Heading 4"/>
    <w:basedOn w:val="905"/>
    <w:next w:val="905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7">
    <w:name w:val="Heading 4 Char"/>
    <w:basedOn w:val="906"/>
    <w:link w:val="736"/>
    <w:uiPriority w:val="9"/>
    <w:rPr>
      <w:rFonts w:ascii="Arial" w:hAnsi="Arial" w:eastAsia="Arial" w:cs="Arial"/>
      <w:b/>
      <w:bCs/>
      <w:sz w:val="26"/>
      <w:szCs w:val="26"/>
    </w:rPr>
  </w:style>
  <w:style w:type="paragraph" w:styleId="738">
    <w:name w:val="Heading 5"/>
    <w:basedOn w:val="905"/>
    <w:next w:val="905"/>
    <w:link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9">
    <w:name w:val="Heading 5 Char"/>
    <w:basedOn w:val="906"/>
    <w:link w:val="738"/>
    <w:uiPriority w:val="9"/>
    <w:rPr>
      <w:rFonts w:ascii="Arial" w:hAnsi="Arial" w:eastAsia="Arial" w:cs="Arial"/>
      <w:b/>
      <w:bCs/>
      <w:sz w:val="24"/>
      <w:szCs w:val="24"/>
    </w:rPr>
  </w:style>
  <w:style w:type="paragraph" w:styleId="740">
    <w:name w:val="Heading 6"/>
    <w:basedOn w:val="905"/>
    <w:next w:val="905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1">
    <w:name w:val="Heading 6 Char"/>
    <w:basedOn w:val="906"/>
    <w:link w:val="740"/>
    <w:uiPriority w:val="9"/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905"/>
    <w:next w:val="905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7 Char"/>
    <w:basedOn w:val="906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905"/>
    <w:next w:val="905"/>
    <w:link w:val="7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5">
    <w:name w:val="Heading 8 Char"/>
    <w:basedOn w:val="906"/>
    <w:link w:val="744"/>
    <w:uiPriority w:val="9"/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905"/>
    <w:next w:val="905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>
    <w:name w:val="Heading 9 Char"/>
    <w:basedOn w:val="906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Title"/>
    <w:basedOn w:val="905"/>
    <w:next w:val="905"/>
    <w:link w:val="74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9">
    <w:name w:val="Title Char"/>
    <w:basedOn w:val="906"/>
    <w:link w:val="748"/>
    <w:uiPriority w:val="10"/>
    <w:rPr>
      <w:sz w:val="48"/>
      <w:szCs w:val="48"/>
    </w:rPr>
  </w:style>
  <w:style w:type="paragraph" w:styleId="750">
    <w:name w:val="Subtitle"/>
    <w:basedOn w:val="905"/>
    <w:next w:val="905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>
    <w:name w:val="Subtitle Char"/>
    <w:basedOn w:val="906"/>
    <w:link w:val="750"/>
    <w:uiPriority w:val="11"/>
    <w:rPr>
      <w:sz w:val="24"/>
      <w:szCs w:val="24"/>
    </w:rPr>
  </w:style>
  <w:style w:type="paragraph" w:styleId="752">
    <w:name w:val="Quote"/>
    <w:basedOn w:val="905"/>
    <w:next w:val="905"/>
    <w:link w:val="753"/>
    <w:uiPriority w:val="29"/>
    <w:qFormat/>
    <w:pPr>
      <w:ind w:left="720" w:right="720"/>
    </w:pPr>
    <w:rPr>
      <w:i/>
    </w:rPr>
  </w:style>
  <w:style w:type="character" w:styleId="753">
    <w:name w:val="Quote Char"/>
    <w:link w:val="752"/>
    <w:uiPriority w:val="29"/>
    <w:rPr>
      <w:i/>
    </w:rPr>
  </w:style>
  <w:style w:type="paragraph" w:styleId="754">
    <w:name w:val="Intense Quote"/>
    <w:basedOn w:val="905"/>
    <w:next w:val="905"/>
    <w:link w:val="75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>
    <w:name w:val="Intense Quote Char"/>
    <w:link w:val="754"/>
    <w:uiPriority w:val="30"/>
    <w:rPr>
      <w:i/>
    </w:rPr>
  </w:style>
  <w:style w:type="paragraph" w:styleId="756">
    <w:name w:val="Header"/>
    <w:basedOn w:val="905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>
    <w:name w:val="Header Char"/>
    <w:basedOn w:val="906"/>
    <w:link w:val="756"/>
    <w:uiPriority w:val="99"/>
  </w:style>
  <w:style w:type="paragraph" w:styleId="758">
    <w:name w:val="Footer"/>
    <w:basedOn w:val="905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Footer Char"/>
    <w:basedOn w:val="906"/>
    <w:link w:val="758"/>
    <w:uiPriority w:val="99"/>
  </w:style>
  <w:style w:type="paragraph" w:styleId="760">
    <w:name w:val="Caption"/>
    <w:basedOn w:val="905"/>
    <w:next w:val="9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1">
    <w:name w:val="Caption Char"/>
    <w:basedOn w:val="760"/>
    <w:link w:val="758"/>
    <w:uiPriority w:val="99"/>
  </w:style>
  <w:style w:type="table" w:styleId="762">
    <w:name w:val="Table Grid"/>
    <w:basedOn w:val="90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Table Grid Light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5">
    <w:name w:val="Plain Table 2"/>
    <w:basedOn w:val="9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6">
    <w:name w:val="Plain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7">
    <w:name w:val="Plain Table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Plain Table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9">
    <w:name w:val="Grid Table 1 Light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Grid Table 1 Light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1 Light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2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2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4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1">
    <w:name w:val="Grid Table 4 - Accent 1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2">
    <w:name w:val="Grid Table 4 - Accent 2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Grid Table 4 - Accent 3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4">
    <w:name w:val="Grid Table 4 - Accent 4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Grid Table 4 - Accent 5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6">
    <w:name w:val="Grid Table 4 - Accent 6"/>
    <w:basedOn w:val="9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7">
    <w:name w:val="Grid Table 5 Dark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8">
    <w:name w:val="Grid Table 5 Dark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9">
    <w:name w:val="Grid Table 5 Dark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0">
    <w:name w:val="Grid Table 5 Dark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1">
    <w:name w:val="Grid Table 5 Dark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3">
    <w:name w:val="Grid Table 5 Dark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4">
    <w:name w:val="Grid Table 6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5">
    <w:name w:val="Grid Table 6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6">
    <w:name w:val="Grid Table 6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7">
    <w:name w:val="Grid Table 6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8">
    <w:name w:val="Grid Table 6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9">
    <w:name w:val="Grid Table 6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0">
    <w:name w:val="Grid Table 6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1">
    <w:name w:val="Grid Table 7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7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7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1 Light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6">
    <w:name w:val="List Table 2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7">
    <w:name w:val="List Table 2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8">
    <w:name w:val="List Table 2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9">
    <w:name w:val="List Table 2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0">
    <w:name w:val="List Table 2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1">
    <w:name w:val="List Table 2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2">
    <w:name w:val="List Table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3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3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4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5 Dark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7">
    <w:name w:val="List Table 5 Dark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8">
    <w:name w:val="List Table 5 Dark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6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4">
    <w:name w:val="List Table 6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5">
    <w:name w:val="List Table 6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6">
    <w:name w:val="List Table 6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7">
    <w:name w:val="List Table 6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8">
    <w:name w:val="List Table 6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9">
    <w:name w:val="List Table 6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0">
    <w:name w:val="List Table 7 Colorful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1">
    <w:name w:val="List Table 7 Colorful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2">
    <w:name w:val="List Table 7 Colorful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3">
    <w:name w:val="List Table 7 Colorful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4">
    <w:name w:val="List Table 7 Colorful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5">
    <w:name w:val="List Table 7 Colorful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6">
    <w:name w:val="List Table 7 Colorful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7">
    <w:name w:val="Lined - Accent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Lined - Accent 1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Lined - Accent 2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Lined - Accent 3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Lined - Accent 4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Lined - Accent 5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Lined - Accent 6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 &amp; Lined - Accent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5">
    <w:name w:val="Bordered &amp; Lined - Accent 1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6">
    <w:name w:val="Bordered &amp; Lined - Accent 2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7">
    <w:name w:val="Bordered &amp; Lined - Accent 3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8">
    <w:name w:val="Bordered &amp; Lined - Accent 4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9">
    <w:name w:val="Bordered &amp; Lined - Accent 5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0">
    <w:name w:val="Bordered &amp; Lined - Accent 6"/>
    <w:basedOn w:val="9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1">
    <w:name w:val="Bordered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2">
    <w:name w:val="Bordered - Accent 1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3">
    <w:name w:val="Bordered - Accent 2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4">
    <w:name w:val="Bordered - Accent 3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5">
    <w:name w:val="Bordered - Accent 4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6">
    <w:name w:val="Bordered - Accent 5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7">
    <w:name w:val="Bordered - Accent 6"/>
    <w:basedOn w:val="9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88">
    <w:name w:val="footnote text"/>
    <w:basedOn w:val="905"/>
    <w:link w:val="889"/>
    <w:uiPriority w:val="99"/>
    <w:semiHidden/>
    <w:unhideWhenUsed/>
    <w:pPr>
      <w:spacing w:after="40" w:line="240" w:lineRule="auto"/>
    </w:pPr>
    <w:rPr>
      <w:sz w:val="18"/>
    </w:rPr>
  </w:style>
  <w:style w:type="character" w:styleId="889">
    <w:name w:val="Footnote Text Char"/>
    <w:link w:val="888"/>
    <w:uiPriority w:val="99"/>
    <w:rPr>
      <w:sz w:val="18"/>
    </w:rPr>
  </w:style>
  <w:style w:type="character" w:styleId="890">
    <w:name w:val="footnote reference"/>
    <w:basedOn w:val="906"/>
    <w:uiPriority w:val="99"/>
    <w:unhideWhenUsed/>
    <w:rPr>
      <w:vertAlign w:val="superscript"/>
    </w:rPr>
  </w:style>
  <w:style w:type="paragraph" w:styleId="891">
    <w:name w:val="endnote text"/>
    <w:basedOn w:val="905"/>
    <w:link w:val="892"/>
    <w:uiPriority w:val="99"/>
    <w:semiHidden/>
    <w:unhideWhenUsed/>
    <w:pPr>
      <w:spacing w:after="0" w:line="240" w:lineRule="auto"/>
    </w:pPr>
    <w:rPr>
      <w:sz w:val="20"/>
    </w:rPr>
  </w:style>
  <w:style w:type="character" w:styleId="892">
    <w:name w:val="Endnote Text Char"/>
    <w:link w:val="891"/>
    <w:uiPriority w:val="99"/>
    <w:rPr>
      <w:sz w:val="20"/>
    </w:rPr>
  </w:style>
  <w:style w:type="character" w:styleId="893">
    <w:name w:val="endnote reference"/>
    <w:basedOn w:val="906"/>
    <w:uiPriority w:val="99"/>
    <w:semiHidden/>
    <w:unhideWhenUsed/>
    <w:rPr>
      <w:vertAlign w:val="superscript"/>
    </w:rPr>
  </w:style>
  <w:style w:type="paragraph" w:styleId="894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5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6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7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8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899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0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1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2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3">
    <w:name w:val="TOC Heading"/>
    <w:uiPriority w:val="39"/>
    <w:unhideWhenUsed/>
  </w:style>
  <w:style w:type="paragraph" w:styleId="904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905" w:default="1">
    <w:name w:val="Normal"/>
    <w:qFormat/>
  </w:style>
  <w:style w:type="character" w:styleId="906" w:default="1">
    <w:name w:val="Default Paragraph Font"/>
    <w:uiPriority w:val="1"/>
    <w:semiHidden/>
    <w:unhideWhenUsed/>
  </w:style>
  <w:style w:type="table" w:styleId="90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8" w:default="1">
    <w:name w:val="No List"/>
    <w:uiPriority w:val="99"/>
    <w:semiHidden/>
    <w:unhideWhenUsed/>
  </w:style>
  <w:style w:type="paragraph" w:styleId="909">
    <w:name w:val="List Paragraph"/>
    <w:basedOn w:val="905"/>
    <w:uiPriority w:val="34"/>
    <w:qFormat/>
    <w:pPr>
      <w:contextualSpacing/>
      <w:ind w:left="720"/>
    </w:pPr>
  </w:style>
  <w:style w:type="character" w:styleId="910">
    <w:name w:val="Hyperlink"/>
    <w:basedOn w:val="906"/>
    <w:uiPriority w:val="99"/>
    <w:unhideWhenUsed/>
    <w:rPr>
      <w:color w:val="0000ff" w:themeColor="hyperlink"/>
      <w:u w:val="single"/>
    </w:rPr>
  </w:style>
  <w:style w:type="paragraph" w:styleId="911">
    <w:name w:val="No Spacing"/>
    <w:uiPriority w:val="1"/>
    <w:qFormat/>
    <w:pPr>
      <w:spacing w:after="0" w:line="240" w:lineRule="auto"/>
    </w:pPr>
  </w:style>
  <w:style w:type="paragraph" w:styleId="912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22</cp:revision>
  <dcterms:created xsi:type="dcterms:W3CDTF">2023-08-22T05:54:00Z</dcterms:created>
  <dcterms:modified xsi:type="dcterms:W3CDTF">2024-02-26T13:25:06Z</dcterms:modified>
</cp:coreProperties>
</file>